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wolier w ciągu ssaków drapieżnych znajdujących się na terenie Nowego ZOO w Poznaniu - etap II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1 pkt. 23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1 pkt. 23 ustawy z dnia 29 stycznia 2004 roku Prawo zamówień publicznych*.</w:t>
      </w:r>
    </w:p>
    <w:p>
      <w:r>
        <w:t xml:space="preserve">W przypadku przynależności wykonawcy do grupy kapitałowej wykonawca składa wraz z ofertą listę podmiotów należących do grupy kapitałowej. Lista podmiotów należących do tej samej grupy kapitałowej (JEŻELI DOTYCZY):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Uzasadnienie, iż istniejące między wykonawcami powiązania nie prowadzą do zakłócenia konkurencji w postępowaniu o udzielenie zamówienia (JEŻELI DOTYCZY): </w:t>
      </w:r>
    </w:p>
    <w:p>
      <w:r>
        <w:t xml:space="preserve">.................................................................................................................................................................................</w:t>
      </w:r>
    </w:p>
    <w:p>
      <w:r>
        <w:t xml:space="preserve">.................................................................................................................................................................................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2017-02-09T12:36:11+01:00</dcterms:created>
  <dcterms:modified xsi:type="dcterms:W3CDTF">2017-02-09T12:36:11+01:00</dcterms:modified>
  <dc:title/>
  <dc:description/>
  <dc:subject/>
  <cp:keywords/>
  <cp:category/>
</cp:coreProperties>
</file>